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93" w:rsidRPr="00145693" w:rsidRDefault="00145693" w:rsidP="0014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569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145693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6848C125" wp14:editId="4A269D08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569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145693" w:rsidRDefault="00145693" w:rsidP="0014569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Pr="00145693">
        <w:rPr>
          <w:rFonts w:ascii="Times New Roman" w:eastAsia="Times New Roman" w:hAnsi="Times New Roman" w:cs="Times New Roman"/>
          <w:b/>
          <w:sz w:val="26"/>
          <w:szCs w:val="26"/>
        </w:rPr>
        <w:t>№11 от «21» января 2022 года</w:t>
      </w:r>
    </w:p>
    <w:p w:rsidR="000F1C57" w:rsidRPr="0022174E" w:rsidRDefault="000F1C57" w:rsidP="001456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22174E" w:rsidRDefault="000F1C57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145693" w:rsidRPr="0014569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145693" w:rsidRPr="00145693">
        <w:rPr>
          <w:rFonts w:ascii="Times New Roman" w:eastAsia="Times New Roman" w:hAnsi="Times New Roman" w:cs="Times New Roman"/>
          <w:b/>
          <w:sz w:val="26"/>
          <w:szCs w:val="26"/>
        </w:rPr>
        <w:t>№11 от «21» января 2022 года</w:t>
      </w:r>
      <w:r w:rsidR="008416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145693" w:rsidRPr="001456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FA" w:rsidRDefault="00187EFA" w:rsidP="00357ED4">
      <w:pPr>
        <w:spacing w:after="0" w:line="240" w:lineRule="auto"/>
      </w:pPr>
      <w:r>
        <w:separator/>
      </w:r>
    </w:p>
  </w:endnote>
  <w:endnote w:type="continuationSeparator" w:id="0">
    <w:p w:rsidR="00187EFA" w:rsidRDefault="00187EFA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FA" w:rsidRDefault="00187EFA" w:rsidP="00357ED4">
      <w:pPr>
        <w:spacing w:after="0" w:line="240" w:lineRule="auto"/>
      </w:pPr>
      <w:r>
        <w:separator/>
      </w:r>
    </w:p>
  </w:footnote>
  <w:footnote w:type="continuationSeparator" w:id="0">
    <w:p w:rsidR="00187EFA" w:rsidRDefault="00187EFA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45693"/>
    <w:rsid w:val="00153FC0"/>
    <w:rsid w:val="00162FE5"/>
    <w:rsid w:val="00170627"/>
    <w:rsid w:val="001722E0"/>
    <w:rsid w:val="00186841"/>
    <w:rsid w:val="00187525"/>
    <w:rsid w:val="00187EFA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1654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72A28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5EC9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1877-1685-488B-AFBF-E914BFC2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2024-09-10T05:26:00Z</dcterms:modified>
</cp:coreProperties>
</file>